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EUWiATOW Y ZARZĄD DRUC</w:t>
        <w:br/>
        <w:t>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Nowym Wiśniczu</w:t>
        <w:br/>
        <w:t>ul. Limanowską 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12700</wp:posOffset>
                </wp:positionV>
                <wp:extent cx="2007235" cy="16446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72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05.06.2014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2.10000000000002pt;margin-top:1.pt;width:158.05000000000001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05.06.2014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32-720 NOWY WIŚNICZ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14 612 82 06, fax: 14 610 84 81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(tekst jedn. Dz. U. z 2013 r., poz. 260 z późn. zm.) informuje, iż w trakcie przygotowania są zadania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2083K Sobolów - Ubrzeż w miejscowości Kamyk.”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2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2081K Leszczyna - Wieruszyce w miejscowości Cichawka”.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2089K Ostrów Królewski - Rzezawa w miejscowości Rzezawa (ul. Wiśniowa)”.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2087K Rzezawa - Brzeźnica w miejscowości Rzezawa (ul. Topolowa)”.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w ciągu drogi powiatowej nr 1444K Uszew - Nowy Wiśnicz - Nieznanowice w miejscowości Stary Wiśnicz przy skrzyżowaniu z drogą gminną nr 580282 Stary Wiśnicz - Kobyle”.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„Odbudowa mostu o JNI 30004948 w ciągu drogi powiatowej 2075K Lipnica Murowana - Żegocina w miejscowości Rajbrot (Dominiczna Góra)”.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3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6" w:val="left"/>
        </w:tabs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98" w:right="1157" w:bottom="588" w:left="876" w:header="270" w:footer="16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8" w:right="0" w:bottom="58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1490" w:h="295" w:wrap="none" w:vAnchor="text" w:hAnchor="page" w:x="839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Z-ca Dyrektora</w:t>
      </w:r>
    </w:p>
    <w:p>
      <w:pPr>
        <w:pStyle w:val="Style9"/>
        <w:keepNext w:val="0"/>
        <w:keepLines w:val="0"/>
        <w:framePr w:w="1138" w:h="281" w:wrap="none" w:vAnchor="text" w:hAnchor="page" w:x="9045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color w:val="7A70A5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gaan </w:t>
      </w: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Sarapata</w:t>
      </w:r>
    </w:p>
    <w:p>
      <w:pPr>
        <w:widowControl w:val="0"/>
        <w:spacing w:line="360" w:lineRule="exact"/>
      </w:pPr>
      <w:r>
        <w:drawing>
          <wp:anchor distT="38735" distB="0" distL="0" distR="0" simplePos="0" relativeHeight="62914690" behindDoc="1" locked="0" layoutInCell="1" allowOverlap="1">
            <wp:simplePos x="0" y="0"/>
            <wp:positionH relativeFrom="page">
              <wp:posOffset>4668520</wp:posOffset>
            </wp:positionH>
            <wp:positionV relativeFrom="paragraph">
              <wp:posOffset>51435</wp:posOffset>
            </wp:positionV>
            <wp:extent cx="2432050" cy="5607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32050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8" w:right="721" w:bottom="588" w:left="87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B6592"/>
      <w:sz w:val="16"/>
      <w:szCs w:val="16"/>
      <w:u w:val="none"/>
    </w:rPr>
  </w:style>
  <w:style w:type="character" w:customStyle="1" w:styleId="CharStyle7">
    <w:name w:val="Tekst treści (3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Podpis obrazu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B6592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line="18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B6592"/>
      <w:sz w:val="16"/>
      <w:szCs w:val="16"/>
      <w:u w:val="none"/>
    </w:rPr>
  </w:style>
  <w:style w:type="paragraph" w:customStyle="1" w:styleId="Style6">
    <w:name w:val="Tekst treści (3)"/>
    <w:basedOn w:val="Normal"/>
    <w:link w:val="CharStyle7"/>
    <w:pPr>
      <w:widowControl w:val="0"/>
      <w:shd w:val="clear" w:color="auto" w:fill="auto"/>
      <w:spacing w:after="320"/>
      <w:ind w:firstLine="22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Podpis obrazu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B6592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